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7A325" w14:textId="06ABCACE" w:rsidR="00D11B51" w:rsidRPr="00D11B51" w:rsidRDefault="00D11B51" w:rsidP="00D11B51">
      <w:pPr>
        <w:shd w:val="clear" w:color="auto" w:fill="FFFFFF"/>
        <w:outlineLvl w:val="0"/>
        <w:rPr>
          <w:rFonts w:ascii="Lato" w:eastAsia="Times New Roman" w:hAnsi="Lato" w:cs="Times New Roman"/>
          <w:color w:val="CC3300"/>
          <w:kern w:val="36"/>
          <w:sz w:val="36"/>
          <w:szCs w:val="36"/>
          <w:lang w:eastAsia="fr-FR"/>
        </w:rPr>
      </w:pPr>
      <w:r w:rsidRPr="00D11B51">
        <w:rPr>
          <w:rFonts w:ascii="Lato" w:eastAsia="Times New Roman" w:hAnsi="Lato" w:cs="Times New Roman"/>
          <w:color w:val="CC3300"/>
          <w:kern w:val="36"/>
          <w:sz w:val="36"/>
          <w:szCs w:val="36"/>
          <w:lang w:eastAsia="fr-FR"/>
        </w:rPr>
        <w:t>Fitch abaisse ses estimations de moyennes de 2022 et 2023</w:t>
      </w:r>
    </w:p>
    <w:p w14:paraId="0040B487" w14:textId="77777777" w:rsidR="00D11B51" w:rsidRDefault="00D11B51" w:rsidP="00D11B51">
      <w:pPr>
        <w:shd w:val="clear" w:color="auto" w:fill="FFFFFF"/>
        <w:spacing w:before="75" w:after="75"/>
        <w:jc w:val="both"/>
        <w:rPr>
          <w:rFonts w:ascii="Lato" w:eastAsia="Times New Roman" w:hAnsi="Lato" w:cs="Times New Roman"/>
          <w:color w:val="3E001F"/>
          <w:sz w:val="30"/>
          <w:szCs w:val="30"/>
          <w:lang w:eastAsia="fr-FR"/>
        </w:rPr>
      </w:pPr>
    </w:p>
    <w:p w14:paraId="6C105DCE" w14:textId="472C0ECD" w:rsidR="00D11B51" w:rsidRPr="00D11B51" w:rsidRDefault="00D11B51" w:rsidP="00D11B51">
      <w:pPr>
        <w:shd w:val="clear" w:color="auto" w:fill="FFFFFF"/>
        <w:spacing w:before="75" w:after="75"/>
        <w:jc w:val="both"/>
        <w:rPr>
          <w:rFonts w:ascii="Lato" w:eastAsia="Times New Roman" w:hAnsi="Lato" w:cs="Times New Roman"/>
          <w:color w:val="000000"/>
          <w:sz w:val="23"/>
          <w:szCs w:val="23"/>
          <w:lang w:eastAsia="fr-FR"/>
        </w:rPr>
      </w:pPr>
      <w:r w:rsidRPr="00D11B51">
        <w:rPr>
          <w:rFonts w:ascii="Lato" w:eastAsia="Times New Roman" w:hAnsi="Lato" w:cs="Times New Roman"/>
          <w:b/>
          <w:bCs/>
          <w:color w:val="000000"/>
          <w:sz w:val="23"/>
          <w:szCs w:val="23"/>
          <w:lang w:eastAsia="fr-FR"/>
        </w:rPr>
        <w:t>L’agence de notations Fitch Ratings a abaissé ses projections à court terme pour le cuivre, l’aluminium, le nickel et le zinc, afin de refléter « </w:t>
      </w:r>
      <w:r w:rsidRPr="00D11B51">
        <w:rPr>
          <w:rFonts w:ascii="Lato" w:eastAsia="Times New Roman" w:hAnsi="Lato" w:cs="Times New Roman"/>
          <w:b/>
          <w:bCs/>
          <w:i/>
          <w:iCs/>
          <w:color w:val="000000"/>
          <w:sz w:val="23"/>
          <w:szCs w:val="23"/>
          <w:lang w:eastAsia="fr-FR"/>
        </w:rPr>
        <w:t>la baisse des cours des métaux intervenue ces dernières semaines et les incertitudes concernant la demande à court terme</w:t>
      </w:r>
      <w:r w:rsidRPr="00D11B51">
        <w:rPr>
          <w:rFonts w:ascii="Lato" w:eastAsia="Times New Roman" w:hAnsi="Lato" w:cs="Times New Roman"/>
          <w:b/>
          <w:bCs/>
          <w:color w:val="000000"/>
          <w:sz w:val="23"/>
          <w:szCs w:val="23"/>
          <w:lang w:eastAsia="fr-FR"/>
        </w:rPr>
        <w:t> ».</w:t>
      </w:r>
    </w:p>
    <w:p w14:paraId="4AEB8AAB" w14:textId="77777777" w:rsidR="00D11B51" w:rsidRPr="00D11B51" w:rsidRDefault="00D11B51" w:rsidP="00D11B51">
      <w:pPr>
        <w:shd w:val="clear" w:color="auto" w:fill="FFFFFF"/>
        <w:spacing w:before="75" w:after="75"/>
        <w:jc w:val="both"/>
        <w:rPr>
          <w:rFonts w:ascii="Lato" w:eastAsia="Times New Roman" w:hAnsi="Lato" w:cs="Times New Roman"/>
          <w:color w:val="000000"/>
          <w:sz w:val="23"/>
          <w:szCs w:val="23"/>
          <w:lang w:eastAsia="fr-FR"/>
        </w:rPr>
      </w:pPr>
      <w:r w:rsidRPr="00D11B51">
        <w:rPr>
          <w:rFonts w:ascii="Lato" w:eastAsia="Times New Roman" w:hAnsi="Lato" w:cs="Times New Roman"/>
          <w:color w:val="000000"/>
          <w:sz w:val="23"/>
          <w:szCs w:val="23"/>
          <w:lang w:eastAsia="fr-FR"/>
        </w:rPr>
        <w:t> </w:t>
      </w:r>
    </w:p>
    <w:p w14:paraId="49338C13" w14:textId="77777777" w:rsidR="00D11B51" w:rsidRPr="00D11B51" w:rsidRDefault="00D11B51" w:rsidP="00D11B51">
      <w:pPr>
        <w:shd w:val="clear" w:color="auto" w:fill="FFFFFF"/>
        <w:spacing w:before="75" w:after="75"/>
        <w:jc w:val="both"/>
        <w:rPr>
          <w:rFonts w:ascii="Lato" w:eastAsia="Times New Roman" w:hAnsi="Lato" w:cs="Times New Roman"/>
          <w:color w:val="000000"/>
          <w:sz w:val="23"/>
          <w:szCs w:val="23"/>
          <w:lang w:eastAsia="fr-FR"/>
        </w:rPr>
      </w:pPr>
      <w:r w:rsidRPr="00D11B51">
        <w:rPr>
          <w:rFonts w:ascii="Lato" w:eastAsia="Times New Roman" w:hAnsi="Lato" w:cs="Times New Roman"/>
          <w:b/>
          <w:bCs/>
          <w:color w:val="A52A2A"/>
          <w:sz w:val="23"/>
          <w:szCs w:val="23"/>
          <w:lang w:eastAsia="fr-FR"/>
        </w:rPr>
        <w:t>Cuivre</w:t>
      </w:r>
    </w:p>
    <w:p w14:paraId="59919974" w14:textId="77777777" w:rsidR="00D11B51" w:rsidRPr="00D11B51" w:rsidRDefault="00D11B51" w:rsidP="00D11B51">
      <w:pPr>
        <w:shd w:val="clear" w:color="auto" w:fill="FFFFFF"/>
        <w:spacing w:before="75" w:after="75"/>
        <w:jc w:val="both"/>
        <w:rPr>
          <w:rFonts w:ascii="Lato" w:eastAsia="Times New Roman" w:hAnsi="Lato" w:cs="Times New Roman"/>
          <w:color w:val="000000"/>
          <w:sz w:val="23"/>
          <w:szCs w:val="23"/>
          <w:lang w:eastAsia="fr-FR"/>
        </w:rPr>
      </w:pPr>
      <w:r w:rsidRPr="00D11B51">
        <w:rPr>
          <w:rFonts w:ascii="Lato" w:eastAsia="Times New Roman" w:hAnsi="Lato" w:cs="Times New Roman"/>
          <w:color w:val="000000"/>
          <w:sz w:val="23"/>
          <w:szCs w:val="23"/>
          <w:lang w:eastAsia="fr-FR"/>
        </w:rPr>
        <w:t>L’estimation de moyenne de 2022 du cours comptant du cuivre a été abaissée à 8.700 $/t, ceci comparé à la précédente estimation de 9.500 $/t ; celle de 2023 a été révisée à 8.000 $/t, contre à 8.500 $/t précédemment. La banque évoque le ralentissement économique mondial et le recul de la demande en deçà du niveau de l’offre. En revanche Fitch maintient ses projections de 2024 et 2025 inchangées à 7.500 $/t. Sa projection à long terme est elle aussi maintenue, à 7.000 $/t. A moyen terme, les perspectives demeurent robustes, grâce à la transition énergétique, qui devrait représenter 50% de la croissance de la demande mondiale au cours des cinq prochaines années.</w:t>
      </w:r>
    </w:p>
    <w:p w14:paraId="41B8EE34" w14:textId="77777777" w:rsidR="00D11B51" w:rsidRPr="00D11B51" w:rsidRDefault="00D11B51" w:rsidP="00D11B51">
      <w:pPr>
        <w:shd w:val="clear" w:color="auto" w:fill="FFFFFF"/>
        <w:spacing w:before="75" w:after="75"/>
        <w:jc w:val="both"/>
        <w:rPr>
          <w:rFonts w:ascii="Lato" w:eastAsia="Times New Roman" w:hAnsi="Lato" w:cs="Times New Roman"/>
          <w:color w:val="000000"/>
          <w:sz w:val="23"/>
          <w:szCs w:val="23"/>
          <w:lang w:eastAsia="fr-FR"/>
        </w:rPr>
      </w:pPr>
      <w:r w:rsidRPr="00D11B51">
        <w:rPr>
          <w:rFonts w:ascii="Lato" w:eastAsia="Times New Roman" w:hAnsi="Lato" w:cs="Times New Roman"/>
          <w:color w:val="000000"/>
          <w:sz w:val="23"/>
          <w:szCs w:val="23"/>
          <w:lang w:eastAsia="fr-FR"/>
        </w:rPr>
        <w:t> </w:t>
      </w:r>
    </w:p>
    <w:p w14:paraId="6E970C6A" w14:textId="77777777" w:rsidR="00D11B51" w:rsidRPr="00D11B51" w:rsidRDefault="00D11B51" w:rsidP="00D11B51">
      <w:pPr>
        <w:shd w:val="clear" w:color="auto" w:fill="FFFFFF"/>
        <w:spacing w:before="75" w:after="75"/>
        <w:jc w:val="both"/>
        <w:rPr>
          <w:rFonts w:ascii="Lato" w:eastAsia="Times New Roman" w:hAnsi="Lato" w:cs="Times New Roman"/>
          <w:color w:val="000000"/>
          <w:sz w:val="23"/>
          <w:szCs w:val="23"/>
          <w:lang w:eastAsia="fr-FR"/>
        </w:rPr>
      </w:pPr>
      <w:r w:rsidRPr="00D11B51">
        <w:rPr>
          <w:rFonts w:ascii="Lato" w:eastAsia="Times New Roman" w:hAnsi="Lato" w:cs="Times New Roman"/>
          <w:b/>
          <w:bCs/>
          <w:color w:val="A52A2A"/>
          <w:sz w:val="23"/>
          <w:szCs w:val="23"/>
          <w:lang w:eastAsia="fr-FR"/>
        </w:rPr>
        <w:t>Aluminium</w:t>
      </w:r>
    </w:p>
    <w:p w14:paraId="33C4424F" w14:textId="77777777" w:rsidR="00D11B51" w:rsidRPr="00D11B51" w:rsidRDefault="00D11B51" w:rsidP="00D11B51">
      <w:pPr>
        <w:shd w:val="clear" w:color="auto" w:fill="FFFFFF"/>
        <w:spacing w:before="75" w:after="75"/>
        <w:jc w:val="both"/>
        <w:rPr>
          <w:rFonts w:ascii="Lato" w:eastAsia="Times New Roman" w:hAnsi="Lato" w:cs="Times New Roman"/>
          <w:color w:val="000000"/>
          <w:sz w:val="23"/>
          <w:szCs w:val="23"/>
          <w:lang w:eastAsia="fr-FR"/>
        </w:rPr>
      </w:pPr>
      <w:r w:rsidRPr="00D11B51">
        <w:rPr>
          <w:rFonts w:ascii="Lato" w:eastAsia="Times New Roman" w:hAnsi="Lato" w:cs="Times New Roman"/>
          <w:color w:val="000000"/>
          <w:sz w:val="23"/>
          <w:szCs w:val="23"/>
          <w:lang w:eastAsia="fr-FR"/>
        </w:rPr>
        <w:t>Les estimations de moyennes de 2022 et 2023, concernant le métal léger, ont été revues à la baisse, au regard du sentiment négatif et de la contraction de la demande, celle-ci étant principalement liée au recul du marché immobilier chinois. « </w:t>
      </w:r>
      <w:r w:rsidRPr="00D11B51">
        <w:rPr>
          <w:rFonts w:ascii="Lato" w:eastAsia="Times New Roman" w:hAnsi="Lato" w:cs="Times New Roman"/>
          <w:i/>
          <w:iCs/>
          <w:color w:val="000000"/>
          <w:sz w:val="23"/>
          <w:szCs w:val="23"/>
          <w:lang w:eastAsia="fr-FR"/>
        </w:rPr>
        <w:t>Toutefois, avec la hausse des prix de l’énergie attendue cet hiver, les finances de nombreux sites de production pourraient basculer dans le rouge et conduire à des fermetures de capacités, ce qui limitera le recul des cours</w:t>
      </w:r>
      <w:r w:rsidRPr="00D11B51">
        <w:rPr>
          <w:rFonts w:ascii="Lato" w:eastAsia="Times New Roman" w:hAnsi="Lato" w:cs="Times New Roman"/>
          <w:color w:val="000000"/>
          <w:sz w:val="23"/>
          <w:szCs w:val="23"/>
          <w:lang w:eastAsia="fr-FR"/>
        </w:rPr>
        <w:t> », prévoit l’agence de notation.</w:t>
      </w:r>
    </w:p>
    <w:p w14:paraId="0B3097A9" w14:textId="77777777" w:rsidR="00D11B51" w:rsidRPr="00D11B51" w:rsidRDefault="00D11B51" w:rsidP="00D11B51">
      <w:pPr>
        <w:shd w:val="clear" w:color="auto" w:fill="FFFFFF"/>
        <w:spacing w:before="75" w:after="75"/>
        <w:jc w:val="both"/>
        <w:rPr>
          <w:rFonts w:ascii="Lato" w:eastAsia="Times New Roman" w:hAnsi="Lato" w:cs="Times New Roman"/>
          <w:color w:val="000000"/>
          <w:sz w:val="23"/>
          <w:szCs w:val="23"/>
          <w:lang w:eastAsia="fr-FR"/>
        </w:rPr>
      </w:pPr>
      <w:r w:rsidRPr="00D11B51">
        <w:rPr>
          <w:rFonts w:ascii="Lato" w:eastAsia="Times New Roman" w:hAnsi="Lato" w:cs="Times New Roman"/>
          <w:color w:val="000000"/>
          <w:sz w:val="23"/>
          <w:szCs w:val="23"/>
          <w:lang w:eastAsia="fr-FR"/>
        </w:rPr>
        <w:t>Ainsi, Fitch a raboté de 250 $ sa précédente prévision de moyenne du cours comptant de l’aluminium pour 2022 pour l’établir à 2.700 $/t. Pour 2023, l’agence prévoit une moyenne de 2.500 $/t, une projection inférieure de 100 $/t à la précédente. Pour les échéances 2024, 2025 et à long terme, les prévisions restent inchangées, respectivement, à 2.500 $/t, 2.250 $/t et 2.000 $/t.</w:t>
      </w:r>
    </w:p>
    <w:p w14:paraId="6236E265" w14:textId="77777777" w:rsidR="00D11B51" w:rsidRPr="00D11B51" w:rsidRDefault="00D11B51" w:rsidP="00D11B51">
      <w:pPr>
        <w:shd w:val="clear" w:color="auto" w:fill="FFFFFF"/>
        <w:spacing w:before="75" w:after="75"/>
        <w:jc w:val="both"/>
        <w:rPr>
          <w:rFonts w:ascii="Lato" w:eastAsia="Times New Roman" w:hAnsi="Lato" w:cs="Times New Roman"/>
          <w:color w:val="000000"/>
          <w:sz w:val="23"/>
          <w:szCs w:val="23"/>
          <w:lang w:eastAsia="fr-FR"/>
        </w:rPr>
      </w:pPr>
      <w:r w:rsidRPr="00D11B51">
        <w:rPr>
          <w:rFonts w:ascii="Lato" w:eastAsia="Times New Roman" w:hAnsi="Lato" w:cs="Times New Roman"/>
          <w:color w:val="000000"/>
          <w:sz w:val="23"/>
          <w:szCs w:val="23"/>
          <w:lang w:eastAsia="fr-FR"/>
        </w:rPr>
        <w:br/>
      </w:r>
      <w:r w:rsidRPr="00D11B51">
        <w:rPr>
          <w:rFonts w:ascii="Lato" w:eastAsia="Times New Roman" w:hAnsi="Lato" w:cs="Times New Roman"/>
          <w:b/>
          <w:bCs/>
          <w:color w:val="A52A2A"/>
          <w:sz w:val="23"/>
          <w:szCs w:val="23"/>
          <w:lang w:eastAsia="fr-FR"/>
        </w:rPr>
        <w:t>Zinc</w:t>
      </w:r>
    </w:p>
    <w:p w14:paraId="6E9818C7" w14:textId="77777777" w:rsidR="00D11B51" w:rsidRPr="00D11B51" w:rsidRDefault="00D11B51" w:rsidP="00D11B51">
      <w:pPr>
        <w:shd w:val="clear" w:color="auto" w:fill="FFFFFF"/>
        <w:spacing w:before="75" w:after="75"/>
        <w:jc w:val="both"/>
        <w:rPr>
          <w:rFonts w:ascii="Lato" w:eastAsia="Times New Roman" w:hAnsi="Lato" w:cs="Times New Roman"/>
          <w:color w:val="000000"/>
          <w:sz w:val="23"/>
          <w:szCs w:val="23"/>
          <w:lang w:eastAsia="fr-FR"/>
        </w:rPr>
      </w:pPr>
      <w:r w:rsidRPr="00D11B51">
        <w:rPr>
          <w:rFonts w:ascii="Lato" w:eastAsia="Times New Roman" w:hAnsi="Lato" w:cs="Times New Roman"/>
          <w:color w:val="000000"/>
          <w:sz w:val="23"/>
          <w:szCs w:val="23"/>
          <w:lang w:eastAsia="fr-FR"/>
        </w:rPr>
        <w:t>Les prévisions de 2022 et 2023 concernant le zinc ont été révisées à la baisse, au regard du contexte inflationniste, de la flambée des prix de l’énergie et du risque de récession. La production minière devrait rester stable, ce qui, face à la contraction de la demande, conduira à un excédent de marché à court terme. Fitch prévoit que les tensions sur l’offre vont permettre de rééquilibrer le marché à moyen terme. L’agence a abaissé de 200 $ sa prévision de moyenne du cours comptant de 2022, à 3.400 $/t, par rapport à la précédente. La nouvelle prévision de moyenne de 2023 ressort à 2.800 $/t, contre 3.000 $/t précédemment.</w:t>
      </w:r>
    </w:p>
    <w:p w14:paraId="5BFB6D32" w14:textId="77777777" w:rsidR="00D11B51" w:rsidRPr="00D11B51" w:rsidRDefault="00D11B51" w:rsidP="00D11B51">
      <w:pPr>
        <w:shd w:val="clear" w:color="auto" w:fill="FFFFFF"/>
        <w:spacing w:before="75" w:after="75"/>
        <w:jc w:val="both"/>
        <w:rPr>
          <w:rFonts w:ascii="Lato" w:eastAsia="Times New Roman" w:hAnsi="Lato" w:cs="Times New Roman"/>
          <w:color w:val="000000"/>
          <w:sz w:val="23"/>
          <w:szCs w:val="23"/>
          <w:lang w:eastAsia="fr-FR"/>
        </w:rPr>
      </w:pPr>
      <w:r w:rsidRPr="00D11B51">
        <w:rPr>
          <w:rFonts w:ascii="Lato" w:eastAsia="Times New Roman" w:hAnsi="Lato" w:cs="Times New Roman"/>
          <w:color w:val="000000"/>
          <w:sz w:val="23"/>
          <w:szCs w:val="23"/>
          <w:lang w:eastAsia="fr-FR"/>
        </w:rPr>
        <w:t>Pour les échéances 2024, 2025 et la projection à long terme, Fitch maintient ses valeurs inchangées, respectivement, à 2.500 $/t, 2.200 $/t et 2.100 $/t.</w:t>
      </w:r>
    </w:p>
    <w:p w14:paraId="57990E60" w14:textId="77777777" w:rsidR="00D11B51" w:rsidRPr="00D11B51" w:rsidRDefault="00D11B51" w:rsidP="00D11B51">
      <w:pPr>
        <w:shd w:val="clear" w:color="auto" w:fill="FFFFFF"/>
        <w:spacing w:before="75" w:after="75"/>
        <w:jc w:val="both"/>
        <w:rPr>
          <w:rFonts w:ascii="Lato" w:eastAsia="Times New Roman" w:hAnsi="Lato" w:cs="Times New Roman"/>
          <w:color w:val="000000"/>
          <w:sz w:val="23"/>
          <w:szCs w:val="23"/>
          <w:lang w:eastAsia="fr-FR"/>
        </w:rPr>
      </w:pPr>
      <w:r w:rsidRPr="00D11B51">
        <w:rPr>
          <w:rFonts w:ascii="Lato" w:eastAsia="Times New Roman" w:hAnsi="Lato" w:cs="Times New Roman"/>
          <w:color w:val="000000"/>
          <w:sz w:val="23"/>
          <w:szCs w:val="23"/>
          <w:lang w:eastAsia="fr-FR"/>
        </w:rPr>
        <w:br/>
      </w:r>
      <w:r w:rsidRPr="00D11B51">
        <w:rPr>
          <w:rFonts w:ascii="Lato" w:eastAsia="Times New Roman" w:hAnsi="Lato" w:cs="Times New Roman"/>
          <w:b/>
          <w:bCs/>
          <w:color w:val="A52A2A"/>
          <w:sz w:val="23"/>
          <w:szCs w:val="23"/>
          <w:lang w:eastAsia="fr-FR"/>
        </w:rPr>
        <w:t>Nickel</w:t>
      </w:r>
    </w:p>
    <w:p w14:paraId="25C95257" w14:textId="77777777" w:rsidR="00D11B51" w:rsidRPr="00D11B51" w:rsidRDefault="00D11B51" w:rsidP="00D11B51">
      <w:pPr>
        <w:shd w:val="clear" w:color="auto" w:fill="FFFFFF"/>
        <w:spacing w:before="75" w:after="75"/>
        <w:jc w:val="both"/>
        <w:rPr>
          <w:rFonts w:ascii="Lato" w:eastAsia="Times New Roman" w:hAnsi="Lato" w:cs="Times New Roman"/>
          <w:color w:val="000000"/>
          <w:sz w:val="23"/>
          <w:szCs w:val="23"/>
          <w:lang w:eastAsia="fr-FR"/>
        </w:rPr>
      </w:pPr>
      <w:r w:rsidRPr="00D11B51">
        <w:rPr>
          <w:rFonts w:ascii="Lato" w:eastAsia="Times New Roman" w:hAnsi="Lato" w:cs="Times New Roman"/>
          <w:color w:val="000000"/>
          <w:sz w:val="23"/>
          <w:szCs w:val="23"/>
          <w:lang w:eastAsia="fr-FR"/>
        </w:rPr>
        <w:t xml:space="preserve">Fitch a également abaissé sa prévision de moyenne du cours comptant du nickel en 2022, à 24.000 $/t, contre 25.000 $/t précédemment. En revanche, elle maintient inchangées les </w:t>
      </w:r>
      <w:r w:rsidRPr="00D11B51">
        <w:rPr>
          <w:rFonts w:ascii="Lato" w:eastAsia="Times New Roman" w:hAnsi="Lato" w:cs="Times New Roman"/>
          <w:color w:val="000000"/>
          <w:sz w:val="23"/>
          <w:szCs w:val="23"/>
          <w:lang w:eastAsia="fr-FR"/>
        </w:rPr>
        <w:lastRenderedPageBreak/>
        <w:t>projections pour les années suivantes. « </w:t>
      </w:r>
      <w:r w:rsidRPr="00D11B51">
        <w:rPr>
          <w:rFonts w:ascii="Lato" w:eastAsia="Times New Roman" w:hAnsi="Lato" w:cs="Times New Roman"/>
          <w:i/>
          <w:iCs/>
          <w:color w:val="000000"/>
          <w:sz w:val="23"/>
          <w:szCs w:val="23"/>
          <w:lang w:eastAsia="fr-FR"/>
        </w:rPr>
        <w:t>Nous avons abaissé notre projection pour 2022 en raison de la contraction de la demande dans le secteur de l’acier inoxydable alors que la production de nickel devrait, elle, rester stable, en particulier en Russie et en Indonésie. La demande à long terme en provenance du secteur des véhicules électriques soutient, elle, les cours à long terme</w:t>
      </w:r>
      <w:r w:rsidRPr="00D11B51">
        <w:rPr>
          <w:rFonts w:ascii="Lato" w:eastAsia="Times New Roman" w:hAnsi="Lato" w:cs="Times New Roman"/>
          <w:color w:val="000000"/>
          <w:sz w:val="23"/>
          <w:szCs w:val="23"/>
          <w:lang w:eastAsia="fr-FR"/>
        </w:rPr>
        <w:t> », estime l’agence.</w:t>
      </w:r>
    </w:p>
    <w:p w14:paraId="3768A8CD" w14:textId="77777777" w:rsidR="00D11B51" w:rsidRPr="00D11B51" w:rsidRDefault="00D11B51" w:rsidP="00D11B51">
      <w:pPr>
        <w:shd w:val="clear" w:color="auto" w:fill="FFFFFF"/>
        <w:spacing w:before="75" w:after="75"/>
        <w:jc w:val="both"/>
        <w:rPr>
          <w:rFonts w:ascii="Lato" w:eastAsia="Times New Roman" w:hAnsi="Lato" w:cs="Times New Roman"/>
          <w:color w:val="000000"/>
          <w:sz w:val="23"/>
          <w:szCs w:val="23"/>
          <w:lang w:eastAsia="fr-FR"/>
        </w:rPr>
      </w:pPr>
      <w:r w:rsidRPr="00D11B51">
        <w:rPr>
          <w:rFonts w:ascii="Lato" w:eastAsia="Times New Roman" w:hAnsi="Lato" w:cs="Times New Roman"/>
          <w:color w:val="000000"/>
          <w:sz w:val="23"/>
          <w:szCs w:val="23"/>
          <w:lang w:eastAsia="fr-FR"/>
        </w:rPr>
        <w:t>Les estimations de moyennes pour 2023, 2024, 2025 et à long terme sont maintenues, respectivement, à 20.000 $/t, 17.000 $/t, 15.000 $/t et 15.000 $/t.</w:t>
      </w:r>
    </w:p>
    <w:p w14:paraId="2E32F1E3" w14:textId="77777777" w:rsidR="00CD0D9E" w:rsidRDefault="00CD0D9E"/>
    <w:sectPr w:rsidR="00CD0D9E"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B51"/>
    <w:rsid w:val="000F156F"/>
    <w:rsid w:val="00CD0D9E"/>
    <w:rsid w:val="00D11B51"/>
    <w:rsid w:val="00DE48F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1C3F77B7"/>
  <w15:chartTrackingRefBased/>
  <w15:docId w15:val="{5E695E0B-1867-B342-AA0D-268E31A67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D11B51"/>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D11B51"/>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11B51"/>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D11B51"/>
    <w:rPr>
      <w:rFonts w:ascii="Times New Roman" w:eastAsia="Times New Roman" w:hAnsi="Times New Roman" w:cs="Times New Roman"/>
      <w:b/>
      <w:bCs/>
      <w:sz w:val="36"/>
      <w:szCs w:val="36"/>
      <w:lang w:eastAsia="fr-FR"/>
    </w:rPr>
  </w:style>
  <w:style w:type="paragraph" w:customStyle="1" w:styleId="infoarticle">
    <w:name w:val="info_article"/>
    <w:basedOn w:val="Normal"/>
    <w:rsid w:val="00D11B51"/>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D11B51"/>
    <w:rPr>
      <w:color w:val="0000FF"/>
      <w:u w:val="single"/>
    </w:rPr>
  </w:style>
  <w:style w:type="paragraph" w:styleId="NormalWeb">
    <w:name w:val="Normal (Web)"/>
    <w:basedOn w:val="Normal"/>
    <w:uiPriority w:val="99"/>
    <w:semiHidden/>
    <w:unhideWhenUsed/>
    <w:rsid w:val="00D11B51"/>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D11B51"/>
    <w:rPr>
      <w:b/>
      <w:bCs/>
    </w:rPr>
  </w:style>
  <w:style w:type="character" w:styleId="Accentuation">
    <w:name w:val="Emphasis"/>
    <w:basedOn w:val="Policepardfaut"/>
    <w:uiPriority w:val="20"/>
    <w:qFormat/>
    <w:rsid w:val="00D11B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81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528</Words>
  <Characters>2907</Characters>
  <Application>Microsoft Office Word</Application>
  <DocSecurity>0</DocSecurity>
  <Lines>24</Lines>
  <Paragraphs>6</Paragraphs>
  <ScaleCrop>false</ScaleCrop>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2022-09-27T08:36:00Z</dcterms:created>
  <dcterms:modified xsi:type="dcterms:W3CDTF">2022-09-27T08:37:00Z</dcterms:modified>
</cp:coreProperties>
</file>